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66428" w14:textId="77777777" w:rsidR="00313411" w:rsidRDefault="00313411" w:rsidP="009975FE">
      <w:pPr>
        <w:ind w:right="1"/>
        <w:jc w:val="center"/>
        <w:rPr>
          <w:rFonts w:ascii="Calibri" w:hAnsi="Calibri" w:cs="Arial"/>
          <w:b/>
          <w:color w:val="1F497D" w:themeColor="text2"/>
          <w:sz w:val="28"/>
          <w:u w:val="single"/>
        </w:rPr>
      </w:pPr>
      <w:bookmarkStart w:id="0" w:name="_GoBack"/>
      <w:bookmarkEnd w:id="0"/>
    </w:p>
    <w:p w14:paraId="4DCCF2F3" w14:textId="3C7158B5" w:rsidR="009975FE" w:rsidRDefault="009975FE" w:rsidP="009975FE">
      <w:pPr>
        <w:ind w:right="1"/>
        <w:jc w:val="center"/>
        <w:rPr>
          <w:rFonts w:ascii="Calibri" w:hAnsi="Calibri" w:cs="Arial"/>
          <w:b/>
          <w:color w:val="1F497D" w:themeColor="text2"/>
          <w:sz w:val="28"/>
          <w:u w:val="single"/>
        </w:rPr>
      </w:pPr>
      <w:r w:rsidRPr="00B1310F">
        <w:rPr>
          <w:rFonts w:ascii="Calibri" w:hAnsi="Calibri" w:cs="Arial"/>
          <w:b/>
          <w:color w:val="1F497D" w:themeColor="text2"/>
          <w:sz w:val="28"/>
          <w:u w:val="single"/>
        </w:rPr>
        <w:t xml:space="preserve">Plateforme </w:t>
      </w:r>
      <w:r w:rsidR="00313411">
        <w:rPr>
          <w:rFonts w:ascii="Calibri" w:hAnsi="Calibri" w:cs="Arial"/>
          <w:b/>
          <w:color w:val="1F497D" w:themeColor="text2"/>
          <w:sz w:val="28"/>
          <w:u w:val="single"/>
        </w:rPr>
        <w:t>d’Irradiation expérimentale</w:t>
      </w:r>
    </w:p>
    <w:p w14:paraId="4A913FF3" w14:textId="0E9CB17B" w:rsidR="001E377B" w:rsidRPr="009975FE" w:rsidRDefault="00A147C6" w:rsidP="009975FE">
      <w:pPr>
        <w:jc w:val="center"/>
        <w:rPr>
          <w:b/>
          <w:sz w:val="28"/>
          <w:u w:val="single"/>
        </w:rPr>
      </w:pPr>
      <w:r>
        <w:rPr>
          <w:b/>
          <w:sz w:val="28"/>
          <w:u w:val="single"/>
        </w:rPr>
        <w:t>CHART</w:t>
      </w:r>
      <w:r w:rsidR="009975FE">
        <w:rPr>
          <w:b/>
          <w:sz w:val="28"/>
          <w:u w:val="single"/>
        </w:rPr>
        <w:t>E</w:t>
      </w:r>
      <w:r w:rsidR="007951E2">
        <w:rPr>
          <w:b/>
          <w:sz w:val="28"/>
          <w:u w:val="single"/>
        </w:rPr>
        <w:t xml:space="preserve"> </w:t>
      </w:r>
      <w:r w:rsidR="00764AAA">
        <w:rPr>
          <w:b/>
          <w:sz w:val="28"/>
          <w:u w:val="single"/>
        </w:rPr>
        <w:t xml:space="preserve">DE FONCTIONNEMENT </w:t>
      </w:r>
    </w:p>
    <w:p w14:paraId="414F27CA" w14:textId="77777777" w:rsidR="009975FE" w:rsidRDefault="009975FE"/>
    <w:p w14:paraId="32B72272" w14:textId="7FFA2A91" w:rsidR="00063D18" w:rsidRDefault="009975FE" w:rsidP="009975FE">
      <w:pPr>
        <w:jc w:val="both"/>
      </w:pPr>
      <w:r>
        <w:t xml:space="preserve">La plateforme </w:t>
      </w:r>
      <w:r w:rsidR="000F6CAB">
        <w:t>d’</w:t>
      </w:r>
      <w:r w:rsidR="00313411">
        <w:t xml:space="preserve">irradiation expérimentale </w:t>
      </w:r>
      <w:r>
        <w:t>est l’une des plateformes développée</w:t>
      </w:r>
      <w:r w:rsidR="00614CD1">
        <w:t>s</w:t>
      </w:r>
      <w:r>
        <w:t xml:space="preserve"> avec le soutien du SIRIC Montpellier Cancer. Elle est située </w:t>
      </w:r>
      <w:r w:rsidR="00DC40B1">
        <w:t>à l’Ins</w:t>
      </w:r>
      <w:r w:rsidR="00E70279">
        <w:t>titut du Cancer de Montpellier</w:t>
      </w:r>
      <w:r>
        <w:t xml:space="preserve"> et met à disposition de la communauté scientifique </w:t>
      </w:r>
      <w:r w:rsidR="00313411">
        <w:t xml:space="preserve">un </w:t>
      </w:r>
      <w:r w:rsidR="00313411" w:rsidRPr="00313411">
        <w:t xml:space="preserve">irradiateur </w:t>
      </w:r>
      <w:proofErr w:type="spellStart"/>
      <w:r w:rsidR="00313411" w:rsidRPr="00313411">
        <w:t>pré-clinique</w:t>
      </w:r>
      <w:proofErr w:type="spellEnd"/>
      <w:r w:rsidR="00313411" w:rsidRPr="00313411">
        <w:t>, modèle Xenx de la société Xstrahl déd</w:t>
      </w:r>
      <w:r w:rsidR="00313411">
        <w:t xml:space="preserve">ié à l’irradiation de cellules </w:t>
      </w:r>
      <w:r w:rsidR="00313411" w:rsidRPr="00313411">
        <w:t xml:space="preserve">et de tumeurs </w:t>
      </w:r>
      <w:r w:rsidR="00313411">
        <w:t xml:space="preserve">localisées </w:t>
      </w:r>
      <w:r w:rsidR="00313411" w:rsidRPr="00313411">
        <w:t>chez la souris</w:t>
      </w:r>
      <w:r w:rsidR="00313411">
        <w:t>.</w:t>
      </w:r>
    </w:p>
    <w:p w14:paraId="230DB92D" w14:textId="77777777" w:rsidR="00DE182E" w:rsidRPr="00CB6E24" w:rsidRDefault="00DE182E" w:rsidP="00DE182E">
      <w:pPr>
        <w:pStyle w:val="Paragraphedeliste"/>
        <w:numPr>
          <w:ilvl w:val="0"/>
          <w:numId w:val="1"/>
        </w:numPr>
        <w:jc w:val="both"/>
        <w:rPr>
          <w:b/>
        </w:rPr>
      </w:pPr>
      <w:r w:rsidRPr="00CB6E24">
        <w:rPr>
          <w:b/>
        </w:rPr>
        <w:t>Conditions d’accès</w:t>
      </w:r>
    </w:p>
    <w:p w14:paraId="6085C278" w14:textId="0AD57777" w:rsidR="00DE182E" w:rsidRDefault="00DE182E" w:rsidP="00DE182E">
      <w:pPr>
        <w:spacing w:after="0" w:line="240" w:lineRule="auto"/>
        <w:jc w:val="both"/>
      </w:pPr>
      <w:r>
        <w:t xml:space="preserve">La plateforme est ouverte à </w:t>
      </w:r>
      <w:r w:rsidR="00313411">
        <w:t>tout scientifique</w:t>
      </w:r>
      <w:r w:rsidRPr="00FB1B31">
        <w:t xml:space="preserve"> </w:t>
      </w:r>
      <w:r w:rsidR="00313411">
        <w:t xml:space="preserve">de Montpellier, hors Montpellier, académique et privée. </w:t>
      </w:r>
    </w:p>
    <w:p w14:paraId="177BD791" w14:textId="77777777" w:rsidR="00CB6E24" w:rsidRDefault="00CB6E24" w:rsidP="00DE182E">
      <w:pPr>
        <w:spacing w:after="0" w:line="240" w:lineRule="auto"/>
        <w:jc w:val="both"/>
      </w:pPr>
    </w:p>
    <w:p w14:paraId="6B2F9311" w14:textId="11917E44" w:rsidR="00CB6E24" w:rsidRDefault="00DE182E" w:rsidP="00DE182E">
      <w:pPr>
        <w:spacing w:after="0" w:line="240" w:lineRule="auto"/>
        <w:jc w:val="both"/>
      </w:pPr>
      <w:r>
        <w:t>La plateforme propose</w:t>
      </w:r>
      <w:r w:rsidR="00313411">
        <w:t xml:space="preserve"> une utilisation de l’irradiateur </w:t>
      </w:r>
      <w:r w:rsidR="00E70279">
        <w:t>par un</w:t>
      </w:r>
      <w:r w:rsidR="00313411">
        <w:t xml:space="preserve"> opérateur</w:t>
      </w:r>
      <w:r w:rsidR="00E70279">
        <w:t xml:space="preserve"> habilité</w:t>
      </w:r>
      <w:r>
        <w:t xml:space="preserve">. </w:t>
      </w:r>
    </w:p>
    <w:p w14:paraId="2F06B47A" w14:textId="77777777" w:rsidR="00CB6E24" w:rsidRDefault="00CB6E24" w:rsidP="00DE182E">
      <w:pPr>
        <w:spacing w:after="0" w:line="240" w:lineRule="auto"/>
        <w:jc w:val="both"/>
      </w:pPr>
    </w:p>
    <w:p w14:paraId="4806F08B" w14:textId="0C22A4B5" w:rsidR="009975FE" w:rsidRDefault="00313411" w:rsidP="00DE182E">
      <w:pPr>
        <w:spacing w:after="0" w:line="240" w:lineRule="auto"/>
        <w:jc w:val="both"/>
      </w:pPr>
      <w:r>
        <w:t xml:space="preserve">L’accès à l’équipement n’est possible que sur rendez-vous pris avec les responsables de la plateforme. </w:t>
      </w:r>
      <w:r w:rsidR="000F6CAB">
        <w:t xml:space="preserve"> Les  demandes se font  par mail</w:t>
      </w:r>
      <w:r w:rsidR="00DE182E">
        <w:t xml:space="preserve"> </w:t>
      </w:r>
      <w:r w:rsidR="000F6CAB">
        <w:t xml:space="preserve">à l’adresse : </w:t>
      </w:r>
      <w:hyperlink r:id="rId8" w:history="1">
        <w:r w:rsidR="000F6CAB" w:rsidRPr="007A2AB7">
          <w:rPr>
            <w:rStyle w:val="Lienhypertexte"/>
          </w:rPr>
          <w:t>Irrexp@icm.unicancer.fr</w:t>
        </w:r>
      </w:hyperlink>
      <w:r w:rsidR="000F6CAB">
        <w:t xml:space="preserve"> </w:t>
      </w:r>
    </w:p>
    <w:p w14:paraId="5CCACD37" w14:textId="77777777" w:rsidR="00CB6E24" w:rsidRDefault="00CB6E24" w:rsidP="00DE182E">
      <w:pPr>
        <w:spacing w:after="0" w:line="240" w:lineRule="auto"/>
        <w:jc w:val="both"/>
      </w:pPr>
    </w:p>
    <w:p w14:paraId="4465B6AB" w14:textId="551073F0" w:rsidR="00313411" w:rsidRDefault="00313411" w:rsidP="00DE182E">
      <w:pPr>
        <w:spacing w:after="0" w:line="240" w:lineRule="auto"/>
        <w:jc w:val="both"/>
      </w:pPr>
      <w:r>
        <w:t>La plateforme bénéficie d’un comité de pilotage composé du Responsable scientifique et de l’ingénieur d’étude de la plateforme, d’un physicien, d’une personne compétente en radioprotection et d’un représentant du SIRIC. Son rôle est de s’assurer du bon fonctionnement de la plateforme.</w:t>
      </w:r>
    </w:p>
    <w:p w14:paraId="2EB8E462" w14:textId="77777777" w:rsidR="00313411" w:rsidRDefault="00313411" w:rsidP="00DE182E">
      <w:pPr>
        <w:spacing w:after="0" w:line="240" w:lineRule="auto"/>
        <w:jc w:val="both"/>
      </w:pPr>
    </w:p>
    <w:p w14:paraId="4D46D51E" w14:textId="6E66A030" w:rsidR="00DE182E" w:rsidRDefault="00DE182E" w:rsidP="00DE182E">
      <w:pPr>
        <w:spacing w:after="0" w:line="240" w:lineRule="auto"/>
        <w:jc w:val="both"/>
      </w:pPr>
      <w:r>
        <w:t xml:space="preserve">La plateforme est soumise au Règlement intérieur de </w:t>
      </w:r>
      <w:r w:rsidRPr="00614CD1">
        <w:t>l’IRCM</w:t>
      </w:r>
      <w:r w:rsidR="001E3077" w:rsidRPr="00614CD1">
        <w:t xml:space="preserve"> </w:t>
      </w:r>
      <w:r w:rsidR="00614CD1" w:rsidRPr="00614CD1">
        <w:t xml:space="preserve">et de l’Agence de </w:t>
      </w:r>
      <w:r w:rsidR="001E3077" w:rsidRPr="00614CD1">
        <w:t>S</w:t>
      </w:r>
      <w:r w:rsidR="00614CD1" w:rsidRPr="00614CD1">
        <w:t xml:space="preserve">écurité </w:t>
      </w:r>
      <w:r w:rsidR="001E3077" w:rsidRPr="00614CD1">
        <w:t>N</w:t>
      </w:r>
      <w:r w:rsidR="00614CD1" w:rsidRPr="00614CD1">
        <w:t>ucléaire</w:t>
      </w:r>
      <w:r>
        <w:t xml:space="preserve">. </w:t>
      </w:r>
    </w:p>
    <w:p w14:paraId="316ACAD3" w14:textId="77777777" w:rsidR="00576C14" w:rsidRDefault="00576C14" w:rsidP="00DE182E">
      <w:pPr>
        <w:spacing w:after="0" w:line="240" w:lineRule="auto"/>
        <w:jc w:val="both"/>
      </w:pPr>
    </w:p>
    <w:p w14:paraId="68F3BBD8" w14:textId="77777777" w:rsidR="00576C14" w:rsidRPr="00CB6E24" w:rsidRDefault="00576C14" w:rsidP="00576C14">
      <w:pPr>
        <w:pStyle w:val="Paragraphedeliste"/>
        <w:numPr>
          <w:ilvl w:val="0"/>
          <w:numId w:val="1"/>
        </w:numPr>
        <w:spacing w:after="0" w:line="240" w:lineRule="auto"/>
        <w:jc w:val="both"/>
        <w:rPr>
          <w:b/>
        </w:rPr>
      </w:pPr>
      <w:r w:rsidRPr="00CB6E24">
        <w:rPr>
          <w:b/>
        </w:rPr>
        <w:t>Engagements de la plateforme</w:t>
      </w:r>
    </w:p>
    <w:p w14:paraId="607729E7" w14:textId="77777777" w:rsidR="007D6AC9" w:rsidRDefault="007D6AC9" w:rsidP="007D6AC9">
      <w:pPr>
        <w:pStyle w:val="Paragraphedeliste"/>
        <w:spacing w:after="0" w:line="240" w:lineRule="auto"/>
        <w:jc w:val="both"/>
      </w:pPr>
    </w:p>
    <w:p w14:paraId="697A3A56" w14:textId="686768D5" w:rsidR="00576C14" w:rsidRDefault="00D55780" w:rsidP="00576C14">
      <w:pPr>
        <w:spacing w:after="0" w:line="240" w:lineRule="auto"/>
        <w:jc w:val="both"/>
      </w:pPr>
      <w:r>
        <w:t>La plateforme irradiation expérimentale</w:t>
      </w:r>
      <w:r w:rsidR="005D77D7">
        <w:t xml:space="preserve"> et son personnel s’engage</w:t>
      </w:r>
      <w:r w:rsidR="007951E2">
        <w:t>nt</w:t>
      </w:r>
      <w:r w:rsidR="005D77D7">
        <w:t xml:space="preserve"> à :</w:t>
      </w:r>
    </w:p>
    <w:p w14:paraId="56472B99" w14:textId="77777777" w:rsidR="00614CD1" w:rsidRDefault="00614CD1" w:rsidP="00614CD1">
      <w:pPr>
        <w:pStyle w:val="Paragraphedeliste"/>
        <w:spacing w:after="0" w:line="240" w:lineRule="auto"/>
        <w:jc w:val="both"/>
      </w:pPr>
      <w:r>
        <w:t>-</w:t>
      </w:r>
      <w:r>
        <w:tab/>
        <w:t>Décontaminer après chaque irradiation la zone support du matériel biologique.</w:t>
      </w:r>
    </w:p>
    <w:p w14:paraId="03605EC8" w14:textId="797B6E87" w:rsidR="00614CD1" w:rsidRDefault="00614CD1" w:rsidP="00614CD1">
      <w:pPr>
        <w:pStyle w:val="Paragraphedeliste"/>
        <w:spacing w:after="0" w:line="240" w:lineRule="auto"/>
        <w:jc w:val="both"/>
      </w:pPr>
      <w:r>
        <w:t>-</w:t>
      </w:r>
      <w:r>
        <w:tab/>
        <w:t>Effectuer régulièrement des mesures de radioprotection, pour assurer une utilisation sans danger aux opérateurs et personnes présentent dans la pièce.</w:t>
      </w:r>
    </w:p>
    <w:p w14:paraId="2320DC19" w14:textId="77777777" w:rsidR="00614CD1" w:rsidRDefault="00614CD1" w:rsidP="00614CD1">
      <w:pPr>
        <w:pStyle w:val="Paragraphedeliste"/>
        <w:spacing w:after="0" w:line="240" w:lineRule="auto"/>
        <w:jc w:val="both"/>
      </w:pPr>
      <w:r>
        <w:t>-</w:t>
      </w:r>
      <w:r>
        <w:tab/>
        <w:t>Contrôler la calibration de l’appareil  pour une irradiation fiable.</w:t>
      </w:r>
    </w:p>
    <w:p w14:paraId="3EA882D3" w14:textId="77777777" w:rsidR="00614CD1" w:rsidRDefault="00614CD1" w:rsidP="00614CD1">
      <w:pPr>
        <w:pStyle w:val="Paragraphedeliste"/>
        <w:spacing w:after="0" w:line="240" w:lineRule="auto"/>
        <w:jc w:val="both"/>
      </w:pPr>
    </w:p>
    <w:p w14:paraId="295CAAB6" w14:textId="77777777" w:rsidR="00A07956" w:rsidRDefault="00A07956" w:rsidP="00A07956">
      <w:pPr>
        <w:pStyle w:val="Paragraphedeliste"/>
        <w:spacing w:after="0" w:line="240" w:lineRule="auto"/>
        <w:ind w:left="0"/>
        <w:jc w:val="both"/>
      </w:pPr>
    </w:p>
    <w:p w14:paraId="7B245A5A" w14:textId="77777777" w:rsidR="00B61C14" w:rsidRPr="00CB6E24" w:rsidRDefault="00B61C14" w:rsidP="00B61C14">
      <w:pPr>
        <w:pStyle w:val="Paragraphedeliste"/>
        <w:numPr>
          <w:ilvl w:val="0"/>
          <w:numId w:val="1"/>
        </w:numPr>
        <w:spacing w:after="0" w:line="240" w:lineRule="auto"/>
        <w:jc w:val="both"/>
        <w:rPr>
          <w:b/>
        </w:rPr>
      </w:pPr>
      <w:r w:rsidRPr="00CB6E24">
        <w:rPr>
          <w:b/>
        </w:rPr>
        <w:t>Engagements du porteur de projet</w:t>
      </w:r>
    </w:p>
    <w:p w14:paraId="3CAB25C2" w14:textId="77777777" w:rsidR="00B61C14" w:rsidRDefault="00B61C14" w:rsidP="00B61C14">
      <w:pPr>
        <w:spacing w:after="0" w:line="240" w:lineRule="auto"/>
        <w:jc w:val="both"/>
      </w:pPr>
    </w:p>
    <w:p w14:paraId="4361692E" w14:textId="77777777" w:rsidR="00A07956" w:rsidRDefault="00B61C14" w:rsidP="00A07956">
      <w:pPr>
        <w:spacing w:after="0" w:line="240" w:lineRule="auto"/>
        <w:jc w:val="both"/>
      </w:pPr>
      <w:r>
        <w:t>Le p</w:t>
      </w:r>
      <w:r w:rsidR="00BA37A3">
        <w:t>orteur de projet s’engage par la</w:t>
      </w:r>
      <w:r w:rsidR="00A07956">
        <w:t xml:space="preserve"> présente chartre à :</w:t>
      </w:r>
    </w:p>
    <w:p w14:paraId="0A11F7EC" w14:textId="77777777" w:rsidR="00A07956" w:rsidRDefault="00A07956" w:rsidP="00A07956">
      <w:pPr>
        <w:spacing w:after="0" w:line="240" w:lineRule="auto"/>
        <w:jc w:val="both"/>
      </w:pPr>
    </w:p>
    <w:p w14:paraId="6088A143" w14:textId="77777777" w:rsidR="00D55780" w:rsidRDefault="00D55780" w:rsidP="006D653F">
      <w:pPr>
        <w:pStyle w:val="Paragraphedeliste"/>
        <w:spacing w:after="0" w:line="240" w:lineRule="auto"/>
        <w:jc w:val="both"/>
      </w:pPr>
    </w:p>
    <w:p w14:paraId="74A62CC4" w14:textId="5390B354" w:rsidR="00CB37F9" w:rsidRPr="00CB37F9" w:rsidRDefault="00CB37F9" w:rsidP="006D653F">
      <w:pPr>
        <w:pStyle w:val="Paragraphedeliste"/>
        <w:numPr>
          <w:ilvl w:val="0"/>
          <w:numId w:val="7"/>
        </w:numPr>
        <w:spacing w:after="0" w:line="240" w:lineRule="auto"/>
        <w:jc w:val="both"/>
      </w:pPr>
      <w:r>
        <w:t xml:space="preserve">Mentionner </w:t>
      </w:r>
      <w:r w:rsidRPr="006D653F">
        <w:rPr>
          <w:b/>
          <w:bCs/>
          <w:color w:val="000000"/>
        </w:rPr>
        <w:t xml:space="preserve">le soutien apporté par le SIRIC Montpellier Cancer </w:t>
      </w:r>
      <w:r w:rsidR="00FA4A22">
        <w:rPr>
          <w:b/>
          <w:bCs/>
          <w:color w:val="000000"/>
        </w:rPr>
        <w:t xml:space="preserve">et ses organismes financeurs </w:t>
      </w:r>
      <w:r w:rsidRPr="006D653F">
        <w:rPr>
          <w:b/>
          <w:bCs/>
          <w:color w:val="000000"/>
        </w:rPr>
        <w:t xml:space="preserve">(INCa, INSERM et DGOS) </w:t>
      </w:r>
      <w:r w:rsidRPr="006D653F">
        <w:rPr>
          <w:bCs/>
          <w:color w:val="000000"/>
        </w:rPr>
        <w:t>dans toute communication et publication scientifique</w:t>
      </w:r>
      <w:r w:rsidR="009C0DE8" w:rsidRPr="006D653F">
        <w:rPr>
          <w:bCs/>
          <w:color w:val="000000"/>
        </w:rPr>
        <w:t>,</w:t>
      </w:r>
      <w:r w:rsidRPr="006D653F">
        <w:rPr>
          <w:bCs/>
          <w:color w:val="000000"/>
        </w:rPr>
        <w:t xml:space="preserve"> qu’elle soit écrite ou orale</w:t>
      </w:r>
      <w:r w:rsidR="009C0DE8" w:rsidRPr="006D653F">
        <w:rPr>
          <w:bCs/>
          <w:color w:val="000000"/>
        </w:rPr>
        <w:t>,</w:t>
      </w:r>
      <w:r w:rsidRPr="006D653F">
        <w:rPr>
          <w:bCs/>
          <w:color w:val="000000"/>
        </w:rPr>
        <w:t xml:space="preserve"> </w:t>
      </w:r>
      <w:r w:rsidR="00FA4A22">
        <w:rPr>
          <w:bCs/>
          <w:color w:val="000000"/>
        </w:rPr>
        <w:t xml:space="preserve">relative aux </w:t>
      </w:r>
      <w:r w:rsidRPr="006D653F">
        <w:rPr>
          <w:bCs/>
          <w:color w:val="000000"/>
        </w:rPr>
        <w:t xml:space="preserve">données obtenues à la suite d’une prestation </w:t>
      </w:r>
      <w:r w:rsidR="009C0DE8" w:rsidRPr="006D653F">
        <w:rPr>
          <w:bCs/>
          <w:color w:val="000000"/>
        </w:rPr>
        <w:t>de la plateforme : </w:t>
      </w:r>
    </w:p>
    <w:p w14:paraId="261057D0" w14:textId="2F266FD2" w:rsidR="00CB37F9" w:rsidRDefault="00CB37F9" w:rsidP="00CB37F9">
      <w:pPr>
        <w:pStyle w:val="Paragraphedeliste"/>
        <w:numPr>
          <w:ilvl w:val="0"/>
          <w:numId w:val="3"/>
        </w:numPr>
        <w:spacing w:after="0" w:line="240" w:lineRule="auto"/>
        <w:jc w:val="both"/>
        <w:rPr>
          <w:b/>
          <w:bCs/>
          <w:color w:val="000000"/>
        </w:rPr>
      </w:pPr>
      <w:r>
        <w:t xml:space="preserve">Dans les remerciements, la </w:t>
      </w:r>
      <w:r>
        <w:rPr>
          <w:color w:val="000000"/>
        </w:rPr>
        <w:t>formulation suivante est</w:t>
      </w:r>
      <w:r w:rsidR="00E414B6">
        <w:rPr>
          <w:color w:val="000000"/>
        </w:rPr>
        <w:t xml:space="preserve"> demandée</w:t>
      </w:r>
      <w:r>
        <w:rPr>
          <w:color w:val="000000"/>
        </w:rPr>
        <w:t xml:space="preserve">: </w:t>
      </w:r>
      <w:r w:rsidR="009C0DE8">
        <w:rPr>
          <w:b/>
          <w:bCs/>
          <w:color w:val="000000"/>
        </w:rPr>
        <w:t>Grant « INCa-DGOS-Inserm 6045 »</w:t>
      </w:r>
    </w:p>
    <w:p w14:paraId="5C057CBC" w14:textId="31DADAFF" w:rsidR="00CB37F9" w:rsidRDefault="00CB37F9" w:rsidP="00CB37F9">
      <w:pPr>
        <w:pStyle w:val="Paragraphedeliste"/>
        <w:numPr>
          <w:ilvl w:val="0"/>
          <w:numId w:val="3"/>
        </w:numPr>
        <w:spacing w:after="0" w:line="240" w:lineRule="auto"/>
        <w:jc w:val="both"/>
        <w:rPr>
          <w:bCs/>
          <w:color w:val="000000"/>
        </w:rPr>
      </w:pPr>
      <w:r w:rsidRPr="00CB37F9">
        <w:rPr>
          <w:bCs/>
          <w:color w:val="000000"/>
        </w:rPr>
        <w:t>Dans la partie expérimentale des publications</w:t>
      </w:r>
      <w:r w:rsidR="00D55780">
        <w:rPr>
          <w:bCs/>
          <w:color w:val="000000"/>
        </w:rPr>
        <w:t xml:space="preserve"> </w:t>
      </w:r>
    </w:p>
    <w:p w14:paraId="6297A4CA" w14:textId="77777777" w:rsidR="00CB37F9" w:rsidRPr="00CB37F9" w:rsidRDefault="00CB37F9" w:rsidP="00CB37F9">
      <w:pPr>
        <w:pStyle w:val="Paragraphedeliste"/>
        <w:spacing w:after="0" w:line="240" w:lineRule="auto"/>
        <w:jc w:val="both"/>
        <w:rPr>
          <w:bCs/>
          <w:color w:val="000000"/>
        </w:rPr>
      </w:pPr>
    </w:p>
    <w:p w14:paraId="6E99B518" w14:textId="77777777" w:rsidR="00CB37F9" w:rsidRDefault="0008101E" w:rsidP="002E0326">
      <w:pPr>
        <w:spacing w:after="0" w:line="240" w:lineRule="auto"/>
        <w:jc w:val="both"/>
      </w:pPr>
      <w:r>
        <w:t xml:space="preserve">Les porteurs de projet s’engagent à transmettre au responsable scientifique ou technique de la plateforme les références de toutes les publications mentionnant les services de la plateforme. </w:t>
      </w:r>
    </w:p>
    <w:p w14:paraId="19C54026" w14:textId="77777777" w:rsidR="00A147C6" w:rsidRDefault="00A147C6" w:rsidP="00CB37F9">
      <w:pPr>
        <w:pStyle w:val="Paragraphedeliste"/>
        <w:spacing w:after="0" w:line="240" w:lineRule="auto"/>
        <w:jc w:val="both"/>
      </w:pPr>
    </w:p>
    <w:p w14:paraId="29B45573" w14:textId="3619CF4C" w:rsidR="00D55780" w:rsidRPr="00D55780" w:rsidRDefault="00D55780" w:rsidP="00D55780">
      <w:pPr>
        <w:pStyle w:val="Paragraphedeliste"/>
        <w:numPr>
          <w:ilvl w:val="0"/>
          <w:numId w:val="1"/>
        </w:numPr>
        <w:jc w:val="both"/>
        <w:rPr>
          <w:b/>
        </w:rPr>
      </w:pPr>
      <w:r w:rsidRPr="00D55780">
        <w:rPr>
          <w:b/>
        </w:rPr>
        <w:t>Tarification de la plateforme</w:t>
      </w:r>
    </w:p>
    <w:p w14:paraId="225EF949" w14:textId="67984E8C" w:rsidR="00D55780" w:rsidRPr="00FD72E9" w:rsidRDefault="00D55780" w:rsidP="00FD72E9">
      <w:pPr>
        <w:jc w:val="both"/>
      </w:pPr>
      <w:r>
        <w:t>La grille tarifaire de la plateforme d’irradiation expérimentale est jointe en annexe</w:t>
      </w:r>
      <w:r w:rsidR="00FB77D7">
        <w:t xml:space="preserve"> 1</w:t>
      </w:r>
      <w:r>
        <w:t xml:space="preserve">. </w:t>
      </w:r>
      <w:r w:rsidR="00153832" w:rsidRPr="005C2CB9">
        <w:rPr>
          <w:highlight w:val="yellow"/>
        </w:rPr>
        <w:t xml:space="preserve">Il est précisé que </w:t>
      </w:r>
      <w:r w:rsidR="005C2CB9" w:rsidRPr="005C2CB9">
        <w:rPr>
          <w:highlight w:val="yellow"/>
        </w:rPr>
        <w:t>la tarification s’appliquera au minimum par</w:t>
      </w:r>
      <w:r w:rsidR="00153832" w:rsidRPr="005C2CB9">
        <w:rPr>
          <w:highlight w:val="yellow"/>
        </w:rPr>
        <w:t xml:space="preserve"> quart d’heure </w:t>
      </w:r>
      <w:r w:rsidR="005C2CB9" w:rsidRPr="005C2CB9">
        <w:rPr>
          <w:highlight w:val="yellow"/>
        </w:rPr>
        <w:t>d’</w:t>
      </w:r>
      <w:r w:rsidR="00153832" w:rsidRPr="005C2CB9">
        <w:rPr>
          <w:highlight w:val="yellow"/>
        </w:rPr>
        <w:t>utilisation de l’irradiateur.</w:t>
      </w:r>
    </w:p>
    <w:p w14:paraId="308E395E" w14:textId="77777777" w:rsidR="00D55780" w:rsidRDefault="00D55780" w:rsidP="00D55780">
      <w:pPr>
        <w:pStyle w:val="Paragraphedeliste"/>
        <w:jc w:val="both"/>
        <w:rPr>
          <w:b/>
        </w:rPr>
      </w:pPr>
    </w:p>
    <w:p w14:paraId="3F3AB0F8" w14:textId="77777777" w:rsidR="009975FE" w:rsidRDefault="00A147C6" w:rsidP="00D55780">
      <w:pPr>
        <w:pStyle w:val="Paragraphedeliste"/>
        <w:numPr>
          <w:ilvl w:val="0"/>
          <w:numId w:val="1"/>
        </w:numPr>
        <w:jc w:val="both"/>
        <w:rPr>
          <w:b/>
        </w:rPr>
      </w:pPr>
      <w:r w:rsidRPr="00CB6E24">
        <w:rPr>
          <w:b/>
        </w:rPr>
        <w:t>Acceptation de la charte</w:t>
      </w:r>
    </w:p>
    <w:p w14:paraId="49A3F8A7" w14:textId="6F4EAE6E" w:rsidR="00872B02" w:rsidRDefault="00A147C6" w:rsidP="00A147C6">
      <w:pPr>
        <w:jc w:val="both"/>
      </w:pPr>
      <w:r>
        <w:t>Cette charte est soumise à signature de chaque porteur de projet souhaitant bénéficier des services de la plateforme </w:t>
      </w:r>
      <w:r w:rsidR="00D55780">
        <w:t>irradiation expérimentale</w:t>
      </w:r>
      <w:r w:rsidR="00FA4A22">
        <w:t>.</w:t>
      </w:r>
    </w:p>
    <w:p w14:paraId="3287015A" w14:textId="77777777" w:rsidR="00A147C6" w:rsidRDefault="00A147C6" w:rsidP="00A147C6">
      <w:pPr>
        <w:jc w:val="both"/>
      </w:pPr>
      <w:r>
        <w:t xml:space="preserve">Elle doit être lue, acceptée et respectée. </w:t>
      </w:r>
    </w:p>
    <w:p w14:paraId="004B95A4" w14:textId="77777777" w:rsidR="00A147C6" w:rsidRDefault="00A147C6" w:rsidP="00A147C6">
      <w:pPr>
        <w:jc w:val="both"/>
      </w:pPr>
    </w:p>
    <w:p w14:paraId="6EB8740A" w14:textId="77777777" w:rsidR="00A147C6" w:rsidRDefault="00A147C6" w:rsidP="00A147C6">
      <w:pPr>
        <w:jc w:val="both"/>
      </w:pPr>
    </w:p>
    <w:p w14:paraId="35489E11" w14:textId="77777777" w:rsidR="00A147C6" w:rsidRDefault="00A147C6" w:rsidP="00A147C6">
      <w:pPr>
        <w:jc w:val="both"/>
      </w:pPr>
      <w:r>
        <w:t xml:space="preserve">Je soussigné(e), </w:t>
      </w:r>
    </w:p>
    <w:p w14:paraId="3DE4D2C2" w14:textId="654AECCD" w:rsidR="00A147C6" w:rsidRDefault="00A147C6" w:rsidP="00A147C6">
      <w:pPr>
        <w:jc w:val="both"/>
      </w:pPr>
      <w:r>
        <w:t xml:space="preserve">Reconnais avoir pris connaissance de la Charte de la plateforme </w:t>
      </w:r>
      <w:r w:rsidR="00D55780">
        <w:t>d’irradiation expérimentale</w:t>
      </w:r>
      <w:r>
        <w:t xml:space="preserve"> et déclare en accepter les termes.</w:t>
      </w:r>
    </w:p>
    <w:p w14:paraId="3EB21E1E" w14:textId="77777777" w:rsidR="006A31CF" w:rsidRDefault="006A31CF" w:rsidP="00A147C6">
      <w:pPr>
        <w:jc w:val="both"/>
      </w:pPr>
    </w:p>
    <w:p w14:paraId="0E763B7D" w14:textId="77777777" w:rsidR="00A147C6" w:rsidRDefault="00A147C6" w:rsidP="00A147C6">
      <w:pPr>
        <w:jc w:val="both"/>
      </w:pPr>
      <w:r>
        <w:t>Date :</w:t>
      </w:r>
    </w:p>
    <w:p w14:paraId="68D4EA2C" w14:textId="77777777" w:rsidR="00A147C6" w:rsidRDefault="00A147C6" w:rsidP="00A147C6">
      <w:pPr>
        <w:jc w:val="both"/>
      </w:pPr>
      <w:r>
        <w:t>Signature du porteur de projet :</w:t>
      </w:r>
    </w:p>
    <w:p w14:paraId="523A48B4" w14:textId="77777777" w:rsidR="006A31CF" w:rsidRDefault="006A31CF" w:rsidP="00A147C6">
      <w:pPr>
        <w:jc w:val="both"/>
      </w:pPr>
    </w:p>
    <w:p w14:paraId="2103F922" w14:textId="77777777" w:rsidR="006A31CF" w:rsidRDefault="006A31CF" w:rsidP="00A147C6">
      <w:pPr>
        <w:jc w:val="both"/>
      </w:pPr>
    </w:p>
    <w:p w14:paraId="30795BBA" w14:textId="77777777" w:rsidR="006A31CF" w:rsidRDefault="006A31CF" w:rsidP="00A147C6">
      <w:pPr>
        <w:jc w:val="both"/>
      </w:pPr>
    </w:p>
    <w:p w14:paraId="4B2889ED" w14:textId="0A043E03" w:rsidR="00A147C6" w:rsidRDefault="00D63A6D" w:rsidP="00A147C6">
      <w:pPr>
        <w:jc w:val="both"/>
      </w:pPr>
      <w:r>
        <w:t xml:space="preserve">Signature </w:t>
      </w:r>
      <w:r w:rsidR="00FA4A22">
        <w:t>du p</w:t>
      </w:r>
      <w:r>
        <w:t>ersonnel de la plateforme :</w:t>
      </w:r>
    </w:p>
    <w:p w14:paraId="6D40312C" w14:textId="77777777" w:rsidR="009975FE" w:rsidRDefault="009975FE" w:rsidP="009975FE">
      <w:pPr>
        <w:jc w:val="both"/>
      </w:pPr>
    </w:p>
    <w:p w14:paraId="52AB4A49" w14:textId="77777777" w:rsidR="009975FE" w:rsidRDefault="009975FE"/>
    <w:p w14:paraId="474100B1" w14:textId="77777777" w:rsidR="00240AD9" w:rsidRDefault="00240AD9"/>
    <w:p w14:paraId="23C45D5F" w14:textId="77777777" w:rsidR="00240AD9" w:rsidRDefault="00240AD9"/>
    <w:p w14:paraId="3F3EBB89" w14:textId="77777777" w:rsidR="00240AD9" w:rsidRDefault="00240AD9"/>
    <w:p w14:paraId="64AD4F2F" w14:textId="77777777" w:rsidR="00240AD9" w:rsidRDefault="00240AD9"/>
    <w:p w14:paraId="67C3A4CC" w14:textId="77777777" w:rsidR="00240AD9" w:rsidRDefault="00240AD9"/>
    <w:p w14:paraId="5796276F" w14:textId="77777777" w:rsidR="00240AD9" w:rsidRDefault="00240AD9"/>
    <w:p w14:paraId="3673BACC" w14:textId="77777777" w:rsidR="00240AD9" w:rsidRDefault="00240AD9"/>
    <w:p w14:paraId="10D1E60D" w14:textId="77777777" w:rsidR="00240AD9" w:rsidRDefault="00240AD9"/>
    <w:p w14:paraId="5F732E34" w14:textId="77777777" w:rsidR="00240AD9" w:rsidRDefault="00240AD9"/>
    <w:p w14:paraId="60C0648B" w14:textId="77777777" w:rsidR="00240AD9" w:rsidRDefault="00240AD9"/>
    <w:p w14:paraId="4FDE18AA" w14:textId="0126A96E" w:rsidR="00240AD9" w:rsidRPr="00823E5F" w:rsidRDefault="00240AD9" w:rsidP="00823E5F">
      <w:pPr>
        <w:jc w:val="center"/>
        <w:rPr>
          <w:b/>
        </w:rPr>
      </w:pPr>
      <w:r w:rsidRPr="00823E5F">
        <w:rPr>
          <w:b/>
        </w:rPr>
        <w:t>ANNEXE 1</w:t>
      </w:r>
      <w:r w:rsidR="00823E5F" w:rsidRPr="00823E5F">
        <w:rPr>
          <w:b/>
        </w:rPr>
        <w:t xml:space="preserve"> – GRILLE DE TARIFICATION</w:t>
      </w:r>
    </w:p>
    <w:p w14:paraId="32D71AAA" w14:textId="77777777" w:rsidR="00823E5F" w:rsidRDefault="00823E5F"/>
    <w:tbl>
      <w:tblPr>
        <w:tblStyle w:val="Grilledutableau"/>
        <w:tblW w:w="5000" w:type="pct"/>
        <w:tblLook w:val="04A0" w:firstRow="1" w:lastRow="0" w:firstColumn="1" w:lastColumn="0" w:noHBand="0" w:noVBand="1"/>
      </w:tblPr>
      <w:tblGrid>
        <w:gridCol w:w="4991"/>
        <w:gridCol w:w="2231"/>
        <w:gridCol w:w="2066"/>
      </w:tblGrid>
      <w:tr w:rsidR="00823E5F" w:rsidRPr="00823E5F" w14:paraId="64F7F680" w14:textId="77777777" w:rsidTr="00DC40CB">
        <w:trPr>
          <w:trHeight w:val="425"/>
        </w:trPr>
        <w:tc>
          <w:tcPr>
            <w:tcW w:w="5000" w:type="pct"/>
            <w:gridSpan w:val="3"/>
            <w:tcBorders>
              <w:bottom w:val="nil"/>
            </w:tcBorders>
            <w:shd w:val="clear" w:color="auto" w:fill="365F91" w:themeFill="accent1" w:themeFillShade="BF"/>
            <w:vAlign w:val="center"/>
          </w:tcPr>
          <w:p w14:paraId="4D202353" w14:textId="77777777" w:rsidR="00823E5F" w:rsidRPr="00823E5F" w:rsidRDefault="00823E5F" w:rsidP="00823E5F">
            <w:pPr>
              <w:jc w:val="center"/>
            </w:pPr>
            <w:r w:rsidRPr="00823E5F">
              <w:rPr>
                <w:rFonts w:ascii="Calibri" w:eastAsia="Times New Roman" w:hAnsi="Calibri" w:cs="Arial"/>
                <w:b/>
                <w:bCs/>
                <w:color w:val="FFFFFF"/>
                <w:sz w:val="24"/>
                <w:szCs w:val="24"/>
              </w:rPr>
              <w:t>Radiothérapie expérimentale</w:t>
            </w:r>
          </w:p>
        </w:tc>
      </w:tr>
      <w:tr w:rsidR="00823E5F" w:rsidRPr="00823E5F" w14:paraId="25FD8868" w14:textId="77777777" w:rsidTr="00823E5F">
        <w:trPr>
          <w:trHeight w:val="427"/>
        </w:trPr>
        <w:tc>
          <w:tcPr>
            <w:tcW w:w="2687" w:type="pct"/>
            <w:tcBorders>
              <w:top w:val="nil"/>
              <w:left w:val="nil"/>
              <w:bottom w:val="nil"/>
              <w:right w:val="nil"/>
            </w:tcBorders>
            <w:vAlign w:val="center"/>
          </w:tcPr>
          <w:p w14:paraId="17B8740E" w14:textId="3943E1B1" w:rsidR="00823E5F" w:rsidRPr="00823E5F" w:rsidRDefault="00823E5F" w:rsidP="00823E5F">
            <w:pPr>
              <w:rPr>
                <w:rFonts w:ascii="Calibri" w:eastAsia="Times New Roman" w:hAnsi="Calibri" w:cs="Arial"/>
                <w:b/>
                <w:bCs/>
                <w:sz w:val="20"/>
                <w:szCs w:val="20"/>
              </w:rPr>
            </w:pPr>
          </w:p>
        </w:tc>
        <w:tc>
          <w:tcPr>
            <w:tcW w:w="1201" w:type="pct"/>
            <w:tcBorders>
              <w:top w:val="nil"/>
              <w:left w:val="nil"/>
              <w:bottom w:val="nil"/>
              <w:right w:val="nil"/>
            </w:tcBorders>
            <w:vAlign w:val="center"/>
          </w:tcPr>
          <w:p w14:paraId="1A48F19D" w14:textId="77777777" w:rsidR="00823E5F" w:rsidRPr="00823E5F" w:rsidRDefault="00823E5F" w:rsidP="00823E5F">
            <w:pPr>
              <w:jc w:val="center"/>
              <w:rPr>
                <w:rFonts w:ascii="Calibri" w:eastAsia="Times New Roman" w:hAnsi="Calibri" w:cs="Arial"/>
                <w:b/>
                <w:bCs/>
                <w:sz w:val="20"/>
                <w:szCs w:val="20"/>
              </w:rPr>
            </w:pPr>
            <w:r w:rsidRPr="00823E5F">
              <w:rPr>
                <w:rFonts w:ascii="Calibri" w:eastAsia="Times New Roman" w:hAnsi="Calibri" w:cs="Arial"/>
                <w:b/>
                <w:bCs/>
                <w:sz w:val="20"/>
                <w:szCs w:val="20"/>
              </w:rPr>
              <w:t>Montant horaire (€/h)</w:t>
            </w:r>
          </w:p>
        </w:tc>
        <w:tc>
          <w:tcPr>
            <w:tcW w:w="1112" w:type="pct"/>
            <w:tcBorders>
              <w:top w:val="nil"/>
              <w:left w:val="nil"/>
              <w:bottom w:val="nil"/>
              <w:right w:val="nil"/>
            </w:tcBorders>
          </w:tcPr>
          <w:p w14:paraId="7B69D42C" w14:textId="77777777" w:rsidR="00823E5F" w:rsidRPr="00823E5F" w:rsidRDefault="00823E5F" w:rsidP="00823E5F"/>
        </w:tc>
      </w:tr>
      <w:tr w:rsidR="00823E5F" w:rsidRPr="00823E5F" w14:paraId="08E41534" w14:textId="77777777" w:rsidTr="00823E5F">
        <w:trPr>
          <w:trHeight w:val="410"/>
        </w:trPr>
        <w:tc>
          <w:tcPr>
            <w:tcW w:w="2687" w:type="pct"/>
            <w:tcBorders>
              <w:top w:val="single" w:sz="4" w:space="0" w:color="auto"/>
              <w:left w:val="nil"/>
              <w:bottom w:val="nil"/>
              <w:right w:val="nil"/>
            </w:tcBorders>
            <w:vAlign w:val="center"/>
          </w:tcPr>
          <w:p w14:paraId="777901D1" w14:textId="4C005C9A" w:rsidR="00823E5F" w:rsidRPr="00823E5F" w:rsidRDefault="00823E5F" w:rsidP="00401E28">
            <w:pPr>
              <w:rPr>
                <w:rFonts w:ascii="Calibri" w:eastAsia="Times New Roman" w:hAnsi="Calibri" w:cs="Arial"/>
                <w:b/>
                <w:bCs/>
                <w:sz w:val="20"/>
                <w:szCs w:val="20"/>
              </w:rPr>
            </w:pPr>
            <w:r w:rsidRPr="00823E5F">
              <w:rPr>
                <w:rFonts w:ascii="Calibri" w:eastAsia="Times New Roman" w:hAnsi="Calibri" w:cs="Arial"/>
                <w:b/>
                <w:bCs/>
                <w:sz w:val="20"/>
                <w:szCs w:val="20"/>
              </w:rPr>
              <w:t xml:space="preserve">Tarif équipes </w:t>
            </w:r>
            <w:r w:rsidR="00401E28">
              <w:rPr>
                <w:rFonts w:ascii="Calibri" w:eastAsia="Times New Roman" w:hAnsi="Calibri" w:cs="Arial"/>
                <w:b/>
                <w:bCs/>
                <w:sz w:val="20"/>
                <w:szCs w:val="20"/>
              </w:rPr>
              <w:t>site (IRCM)</w:t>
            </w:r>
          </w:p>
        </w:tc>
        <w:tc>
          <w:tcPr>
            <w:tcW w:w="1201" w:type="pct"/>
            <w:tcBorders>
              <w:top w:val="single" w:sz="4" w:space="0" w:color="auto"/>
              <w:left w:val="nil"/>
              <w:bottom w:val="nil"/>
              <w:right w:val="nil"/>
            </w:tcBorders>
            <w:vAlign w:val="center"/>
          </w:tcPr>
          <w:p w14:paraId="7847B02D" w14:textId="2B6F445A" w:rsidR="00823E5F" w:rsidRPr="00823E5F" w:rsidRDefault="000556B6" w:rsidP="00823E5F">
            <w:pPr>
              <w:jc w:val="center"/>
              <w:rPr>
                <w:rFonts w:ascii="Calibri" w:eastAsia="Times New Roman" w:hAnsi="Calibri" w:cs="Arial"/>
                <w:b/>
                <w:bCs/>
                <w:sz w:val="20"/>
                <w:szCs w:val="20"/>
              </w:rPr>
            </w:pPr>
            <w:r>
              <w:rPr>
                <w:rFonts w:ascii="Calibri" w:eastAsia="Times New Roman" w:hAnsi="Calibri" w:cs="Arial"/>
                <w:b/>
                <w:bCs/>
                <w:sz w:val="20"/>
                <w:szCs w:val="20"/>
              </w:rPr>
              <w:t>82</w:t>
            </w:r>
            <w:r w:rsidR="00401E28">
              <w:rPr>
                <w:rFonts w:ascii="Calibri" w:eastAsia="Times New Roman" w:hAnsi="Calibri" w:cs="Arial"/>
                <w:b/>
                <w:bCs/>
                <w:sz w:val="20"/>
                <w:szCs w:val="20"/>
              </w:rPr>
              <w:t xml:space="preserve"> €/h</w:t>
            </w:r>
          </w:p>
        </w:tc>
        <w:tc>
          <w:tcPr>
            <w:tcW w:w="1112" w:type="pct"/>
            <w:tcBorders>
              <w:top w:val="single" w:sz="4" w:space="0" w:color="auto"/>
              <w:left w:val="nil"/>
              <w:bottom w:val="nil"/>
              <w:right w:val="nil"/>
            </w:tcBorders>
            <w:vAlign w:val="center"/>
          </w:tcPr>
          <w:p w14:paraId="713E94EC" w14:textId="77777777" w:rsidR="00823E5F" w:rsidRPr="00823E5F" w:rsidRDefault="00823E5F" w:rsidP="00401E28">
            <w:pPr>
              <w:rPr>
                <w:rFonts w:ascii="Calibri" w:eastAsia="Times New Roman" w:hAnsi="Calibri" w:cs="Arial"/>
                <w:b/>
                <w:bCs/>
                <w:sz w:val="20"/>
                <w:szCs w:val="20"/>
              </w:rPr>
            </w:pPr>
          </w:p>
        </w:tc>
      </w:tr>
      <w:tr w:rsidR="00823E5F" w:rsidRPr="00823E5F" w14:paraId="7EB8DF1B" w14:textId="77777777" w:rsidTr="00823E5F">
        <w:tc>
          <w:tcPr>
            <w:tcW w:w="2687" w:type="pct"/>
            <w:tcBorders>
              <w:top w:val="nil"/>
              <w:left w:val="nil"/>
              <w:bottom w:val="nil"/>
              <w:right w:val="nil"/>
            </w:tcBorders>
            <w:vAlign w:val="center"/>
          </w:tcPr>
          <w:p w14:paraId="310E1BEC" w14:textId="431E971B" w:rsidR="00823E5F" w:rsidRPr="00823E5F" w:rsidRDefault="00823E5F" w:rsidP="00401E28">
            <w:pPr>
              <w:rPr>
                <w:rFonts w:ascii="Calibri" w:eastAsia="Times New Roman" w:hAnsi="Calibri" w:cs="Arial"/>
                <w:b/>
                <w:bCs/>
                <w:sz w:val="20"/>
                <w:szCs w:val="20"/>
              </w:rPr>
            </w:pPr>
            <w:r w:rsidRPr="00823E5F">
              <w:rPr>
                <w:rFonts w:ascii="Calibri" w:eastAsia="Times New Roman" w:hAnsi="Calibri" w:cs="Arial"/>
                <w:b/>
                <w:bCs/>
                <w:sz w:val="20"/>
                <w:szCs w:val="20"/>
              </w:rPr>
              <w:t xml:space="preserve">Tarif équipes académiques hors SIRIC </w:t>
            </w:r>
          </w:p>
        </w:tc>
        <w:tc>
          <w:tcPr>
            <w:tcW w:w="1201" w:type="pct"/>
            <w:tcBorders>
              <w:top w:val="nil"/>
              <w:left w:val="nil"/>
              <w:bottom w:val="nil"/>
              <w:right w:val="nil"/>
            </w:tcBorders>
            <w:vAlign w:val="center"/>
          </w:tcPr>
          <w:p w14:paraId="0551F0C6" w14:textId="586E76C9" w:rsidR="00823E5F" w:rsidRPr="00823E5F" w:rsidRDefault="000556B6" w:rsidP="00401E28">
            <w:pPr>
              <w:jc w:val="center"/>
              <w:rPr>
                <w:rFonts w:ascii="Calibri" w:eastAsia="Times New Roman" w:hAnsi="Calibri" w:cs="Arial"/>
                <w:b/>
                <w:bCs/>
                <w:sz w:val="20"/>
                <w:szCs w:val="20"/>
              </w:rPr>
            </w:pPr>
            <w:r>
              <w:rPr>
                <w:rFonts w:ascii="Calibri" w:eastAsia="Times New Roman" w:hAnsi="Calibri" w:cs="Arial"/>
                <w:b/>
                <w:bCs/>
                <w:sz w:val="20"/>
                <w:szCs w:val="20"/>
              </w:rPr>
              <w:t>9</w:t>
            </w:r>
            <w:r w:rsidR="00401E28">
              <w:rPr>
                <w:rFonts w:ascii="Calibri" w:eastAsia="Times New Roman" w:hAnsi="Calibri" w:cs="Arial"/>
                <w:b/>
                <w:bCs/>
                <w:sz w:val="20"/>
                <w:szCs w:val="20"/>
              </w:rPr>
              <w:t>4 €/h</w:t>
            </w:r>
          </w:p>
        </w:tc>
        <w:tc>
          <w:tcPr>
            <w:tcW w:w="1112" w:type="pct"/>
            <w:tcBorders>
              <w:top w:val="nil"/>
              <w:left w:val="nil"/>
              <w:bottom w:val="nil"/>
              <w:right w:val="nil"/>
            </w:tcBorders>
            <w:vAlign w:val="center"/>
          </w:tcPr>
          <w:p w14:paraId="338E8CB6" w14:textId="77777777" w:rsidR="00823E5F" w:rsidRPr="00823E5F" w:rsidRDefault="00823E5F" w:rsidP="00823E5F">
            <w:pPr>
              <w:jc w:val="center"/>
              <w:rPr>
                <w:rFonts w:ascii="Calibri" w:eastAsia="Times New Roman" w:hAnsi="Calibri" w:cs="Arial"/>
                <w:b/>
                <w:bCs/>
                <w:sz w:val="20"/>
                <w:szCs w:val="20"/>
              </w:rPr>
            </w:pPr>
          </w:p>
        </w:tc>
      </w:tr>
      <w:tr w:rsidR="00823E5F" w:rsidRPr="00823E5F" w14:paraId="6A3C198B" w14:textId="77777777" w:rsidTr="00823E5F">
        <w:tc>
          <w:tcPr>
            <w:tcW w:w="2687" w:type="pct"/>
            <w:tcBorders>
              <w:top w:val="nil"/>
              <w:left w:val="nil"/>
              <w:bottom w:val="nil"/>
              <w:right w:val="nil"/>
            </w:tcBorders>
            <w:vAlign w:val="center"/>
          </w:tcPr>
          <w:p w14:paraId="15540978" w14:textId="138DD484" w:rsidR="00823E5F" w:rsidRPr="00823E5F" w:rsidRDefault="00D9457E" w:rsidP="00401E28">
            <w:pPr>
              <w:rPr>
                <w:rFonts w:ascii="Calibri" w:eastAsia="Times New Roman" w:hAnsi="Calibri" w:cs="Arial"/>
                <w:b/>
                <w:bCs/>
                <w:sz w:val="20"/>
                <w:szCs w:val="20"/>
              </w:rPr>
            </w:pPr>
            <w:r>
              <w:rPr>
                <w:rFonts w:ascii="Calibri" w:eastAsia="Times New Roman" w:hAnsi="Calibri" w:cs="Arial"/>
                <w:b/>
                <w:bCs/>
                <w:sz w:val="20"/>
                <w:szCs w:val="20"/>
              </w:rPr>
              <w:t xml:space="preserve">Tarif sociétés privées </w:t>
            </w:r>
          </w:p>
        </w:tc>
        <w:tc>
          <w:tcPr>
            <w:tcW w:w="1201" w:type="pct"/>
            <w:tcBorders>
              <w:top w:val="nil"/>
              <w:left w:val="nil"/>
              <w:bottom w:val="nil"/>
              <w:right w:val="nil"/>
            </w:tcBorders>
          </w:tcPr>
          <w:p w14:paraId="53FC0168" w14:textId="0DE96530" w:rsidR="00823E5F" w:rsidRPr="00401E28" w:rsidRDefault="00401E28" w:rsidP="00823E5F">
            <w:pPr>
              <w:rPr>
                <w:sz w:val="20"/>
                <w:szCs w:val="20"/>
              </w:rPr>
            </w:pPr>
            <w:r>
              <w:rPr>
                <w:b/>
                <w:sz w:val="20"/>
                <w:szCs w:val="20"/>
              </w:rPr>
              <w:t xml:space="preserve">              </w:t>
            </w:r>
            <w:r w:rsidR="000556B6">
              <w:rPr>
                <w:b/>
                <w:sz w:val="20"/>
                <w:szCs w:val="20"/>
              </w:rPr>
              <w:t>270</w:t>
            </w:r>
            <w:r w:rsidRPr="00401E28">
              <w:rPr>
                <w:b/>
                <w:sz w:val="20"/>
                <w:szCs w:val="20"/>
              </w:rPr>
              <w:t xml:space="preserve"> </w:t>
            </w:r>
            <w:r w:rsidRPr="00401E28">
              <w:rPr>
                <w:rFonts w:ascii="Calibri" w:eastAsia="Times New Roman" w:hAnsi="Calibri" w:cs="Arial"/>
                <w:b/>
                <w:bCs/>
                <w:sz w:val="20"/>
                <w:szCs w:val="20"/>
              </w:rPr>
              <w:t>€/h</w:t>
            </w:r>
          </w:p>
        </w:tc>
        <w:tc>
          <w:tcPr>
            <w:tcW w:w="1112" w:type="pct"/>
            <w:tcBorders>
              <w:top w:val="nil"/>
              <w:left w:val="nil"/>
              <w:bottom w:val="nil"/>
              <w:right w:val="nil"/>
            </w:tcBorders>
          </w:tcPr>
          <w:p w14:paraId="05CED132" w14:textId="77777777" w:rsidR="00823E5F" w:rsidRPr="00823E5F" w:rsidRDefault="00823E5F" w:rsidP="00823E5F"/>
        </w:tc>
      </w:tr>
      <w:tr w:rsidR="00823E5F" w:rsidRPr="00823E5F" w14:paraId="4F84197F" w14:textId="77777777" w:rsidTr="00823E5F">
        <w:tc>
          <w:tcPr>
            <w:tcW w:w="2687" w:type="pct"/>
            <w:tcBorders>
              <w:top w:val="nil"/>
              <w:left w:val="nil"/>
              <w:bottom w:val="nil"/>
              <w:right w:val="nil"/>
            </w:tcBorders>
            <w:vAlign w:val="center"/>
          </w:tcPr>
          <w:p w14:paraId="1EACD40C" w14:textId="77777777" w:rsidR="00823E5F" w:rsidRPr="00823E5F" w:rsidRDefault="00823E5F" w:rsidP="00823E5F">
            <w:pPr>
              <w:rPr>
                <w:rFonts w:ascii="Calibri" w:eastAsia="Times New Roman" w:hAnsi="Calibri" w:cs="Arial"/>
                <w:b/>
                <w:bCs/>
                <w:sz w:val="20"/>
                <w:szCs w:val="20"/>
              </w:rPr>
            </w:pPr>
          </w:p>
        </w:tc>
        <w:tc>
          <w:tcPr>
            <w:tcW w:w="1201" w:type="pct"/>
            <w:tcBorders>
              <w:top w:val="nil"/>
              <w:left w:val="nil"/>
              <w:bottom w:val="nil"/>
              <w:right w:val="nil"/>
            </w:tcBorders>
          </w:tcPr>
          <w:p w14:paraId="674F8F13" w14:textId="77777777" w:rsidR="00823E5F" w:rsidRPr="00823E5F" w:rsidRDefault="00823E5F" w:rsidP="00823E5F"/>
        </w:tc>
        <w:tc>
          <w:tcPr>
            <w:tcW w:w="1112" w:type="pct"/>
            <w:tcBorders>
              <w:top w:val="nil"/>
              <w:left w:val="nil"/>
              <w:bottom w:val="nil"/>
              <w:right w:val="nil"/>
            </w:tcBorders>
          </w:tcPr>
          <w:p w14:paraId="7230A703" w14:textId="77777777" w:rsidR="00823E5F" w:rsidRPr="00823E5F" w:rsidRDefault="00823E5F" w:rsidP="00823E5F"/>
        </w:tc>
      </w:tr>
      <w:tr w:rsidR="00823E5F" w:rsidRPr="00823E5F" w14:paraId="0557AF85" w14:textId="77777777" w:rsidTr="00823E5F">
        <w:tc>
          <w:tcPr>
            <w:tcW w:w="2687" w:type="pct"/>
            <w:tcBorders>
              <w:top w:val="nil"/>
              <w:left w:val="nil"/>
              <w:bottom w:val="nil"/>
              <w:right w:val="nil"/>
            </w:tcBorders>
            <w:vAlign w:val="center"/>
          </w:tcPr>
          <w:p w14:paraId="19D2FD46" w14:textId="77777777" w:rsidR="00823E5F" w:rsidRPr="00823E5F" w:rsidRDefault="00823E5F" w:rsidP="00823E5F">
            <w:pPr>
              <w:rPr>
                <w:rFonts w:ascii="Calibri" w:eastAsia="Times New Roman" w:hAnsi="Calibri" w:cs="Arial"/>
                <w:b/>
                <w:bCs/>
                <w:sz w:val="20"/>
                <w:szCs w:val="20"/>
              </w:rPr>
            </w:pPr>
          </w:p>
        </w:tc>
        <w:tc>
          <w:tcPr>
            <w:tcW w:w="1201" w:type="pct"/>
            <w:tcBorders>
              <w:top w:val="nil"/>
              <w:left w:val="nil"/>
              <w:bottom w:val="nil"/>
              <w:right w:val="nil"/>
            </w:tcBorders>
          </w:tcPr>
          <w:p w14:paraId="4E4B1BA1" w14:textId="77777777" w:rsidR="00823E5F" w:rsidRPr="00823E5F" w:rsidRDefault="00823E5F" w:rsidP="00823E5F"/>
        </w:tc>
        <w:tc>
          <w:tcPr>
            <w:tcW w:w="1112" w:type="pct"/>
            <w:tcBorders>
              <w:top w:val="nil"/>
              <w:left w:val="nil"/>
              <w:bottom w:val="nil"/>
              <w:right w:val="nil"/>
            </w:tcBorders>
          </w:tcPr>
          <w:p w14:paraId="326FC7FB" w14:textId="77777777" w:rsidR="00823E5F" w:rsidRPr="00823E5F" w:rsidRDefault="00823E5F" w:rsidP="00823E5F"/>
        </w:tc>
      </w:tr>
      <w:tr w:rsidR="00823E5F" w:rsidRPr="00823E5F" w14:paraId="3A9A5374" w14:textId="77777777" w:rsidTr="00823E5F">
        <w:tc>
          <w:tcPr>
            <w:tcW w:w="2687" w:type="pct"/>
            <w:tcBorders>
              <w:top w:val="nil"/>
              <w:left w:val="nil"/>
              <w:bottom w:val="nil"/>
              <w:right w:val="nil"/>
            </w:tcBorders>
            <w:vAlign w:val="center"/>
          </w:tcPr>
          <w:p w14:paraId="0FF531CC" w14:textId="77777777" w:rsidR="00823E5F" w:rsidRPr="00823E5F" w:rsidRDefault="00823E5F" w:rsidP="00823E5F">
            <w:pPr>
              <w:rPr>
                <w:rFonts w:ascii="Calibri" w:eastAsia="Times New Roman" w:hAnsi="Calibri" w:cs="Arial"/>
                <w:b/>
                <w:bCs/>
                <w:sz w:val="20"/>
                <w:szCs w:val="20"/>
              </w:rPr>
            </w:pPr>
          </w:p>
        </w:tc>
        <w:tc>
          <w:tcPr>
            <w:tcW w:w="1201" w:type="pct"/>
            <w:tcBorders>
              <w:top w:val="nil"/>
              <w:left w:val="nil"/>
              <w:bottom w:val="nil"/>
              <w:right w:val="nil"/>
            </w:tcBorders>
          </w:tcPr>
          <w:p w14:paraId="4C842697" w14:textId="77777777" w:rsidR="00823E5F" w:rsidRPr="00823E5F" w:rsidRDefault="00823E5F" w:rsidP="00823E5F"/>
        </w:tc>
        <w:tc>
          <w:tcPr>
            <w:tcW w:w="1112" w:type="pct"/>
            <w:tcBorders>
              <w:top w:val="nil"/>
              <w:left w:val="nil"/>
              <w:bottom w:val="nil"/>
              <w:right w:val="nil"/>
            </w:tcBorders>
          </w:tcPr>
          <w:p w14:paraId="04C953A3" w14:textId="77777777" w:rsidR="00823E5F" w:rsidRPr="00823E5F" w:rsidRDefault="00823E5F" w:rsidP="00823E5F"/>
        </w:tc>
      </w:tr>
    </w:tbl>
    <w:p w14:paraId="433E80E1" w14:textId="77777777" w:rsidR="00823E5F" w:rsidRDefault="00823E5F"/>
    <w:p w14:paraId="0D381E22" w14:textId="77777777" w:rsidR="005C0948" w:rsidRDefault="005C0948"/>
    <w:p w14:paraId="3CE8B0C7" w14:textId="77777777" w:rsidR="005C0948" w:rsidRDefault="005C0948"/>
    <w:p w14:paraId="45D2A57F" w14:textId="77777777" w:rsidR="005C0948" w:rsidRDefault="005C0948"/>
    <w:p w14:paraId="3D23E5DC" w14:textId="77777777" w:rsidR="005C0948" w:rsidRDefault="005C0948"/>
    <w:p w14:paraId="470A23C9" w14:textId="77777777" w:rsidR="005C0948" w:rsidRDefault="005C0948"/>
    <w:p w14:paraId="6B0BBADF" w14:textId="77777777" w:rsidR="005C0948" w:rsidRDefault="005C0948"/>
    <w:p w14:paraId="3C0CE995" w14:textId="77777777" w:rsidR="005C0948" w:rsidRDefault="005C0948"/>
    <w:p w14:paraId="5669DA9C" w14:textId="77777777" w:rsidR="005C0948" w:rsidRDefault="005C0948"/>
    <w:p w14:paraId="35F47893" w14:textId="77777777" w:rsidR="005C0948" w:rsidRDefault="005C0948"/>
    <w:p w14:paraId="7EC27A70" w14:textId="77777777" w:rsidR="005C0948" w:rsidRDefault="005C0948"/>
    <w:p w14:paraId="44ECD622" w14:textId="77777777" w:rsidR="005C0948" w:rsidRPr="005C0948" w:rsidRDefault="005C0948" w:rsidP="005C0948">
      <w:pPr>
        <w:jc w:val="both"/>
        <w:rPr>
          <w:b/>
        </w:rPr>
      </w:pPr>
    </w:p>
    <w:sectPr w:rsidR="005C0948" w:rsidRPr="005C0948" w:rsidSect="00FA4A22">
      <w:headerReference w:type="default" r:id="rId9"/>
      <w:pgSz w:w="11906" w:h="16838"/>
      <w:pgMar w:top="212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00A95" w14:textId="77777777" w:rsidR="007A6E14" w:rsidRDefault="007A6E14" w:rsidP="009975FE">
      <w:pPr>
        <w:spacing w:after="0" w:line="240" w:lineRule="auto"/>
      </w:pPr>
      <w:r>
        <w:separator/>
      </w:r>
    </w:p>
  </w:endnote>
  <w:endnote w:type="continuationSeparator" w:id="0">
    <w:p w14:paraId="2784CB68" w14:textId="77777777" w:rsidR="007A6E14" w:rsidRDefault="007A6E14" w:rsidP="00997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8D69F" w14:textId="77777777" w:rsidR="007A6E14" w:rsidRDefault="007A6E14" w:rsidP="009975FE">
      <w:pPr>
        <w:spacing w:after="0" w:line="240" w:lineRule="auto"/>
      </w:pPr>
      <w:r>
        <w:separator/>
      </w:r>
    </w:p>
  </w:footnote>
  <w:footnote w:type="continuationSeparator" w:id="0">
    <w:p w14:paraId="160755B1" w14:textId="77777777" w:rsidR="007A6E14" w:rsidRDefault="007A6E14" w:rsidP="009975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46754" w14:textId="6FA03CBC" w:rsidR="009975FE" w:rsidRDefault="00313411" w:rsidP="00313411">
    <w:pPr>
      <w:pStyle w:val="En-tte"/>
      <w:tabs>
        <w:tab w:val="clear" w:pos="4536"/>
        <w:tab w:val="clear" w:pos="9072"/>
      </w:tabs>
      <w:jc w:val="right"/>
    </w:pPr>
    <w:r>
      <w:rPr>
        <w:noProof/>
      </w:rPr>
      <w:drawing>
        <wp:inline distT="0" distB="0" distL="0" distR="0" wp14:anchorId="7146E35E" wp14:editId="478D7CB7">
          <wp:extent cx="1591310" cy="646430"/>
          <wp:effectExtent l="0" t="0" r="8890" b="127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310" cy="646430"/>
                  </a:xfrm>
                  <a:prstGeom prst="rect">
                    <a:avLst/>
                  </a:prstGeom>
                  <a:noFill/>
                </pic:spPr>
              </pic:pic>
            </a:graphicData>
          </a:graphic>
        </wp:inline>
      </w:drawing>
    </w:r>
    <w:r>
      <w:rPr>
        <w:noProof/>
      </w:rPr>
      <w:drawing>
        <wp:inline distT="0" distB="0" distL="0" distR="0" wp14:anchorId="3877BF53" wp14:editId="64F3928A">
          <wp:extent cx="2381250" cy="660566"/>
          <wp:effectExtent l="0" t="0" r="0" b="6350"/>
          <wp:docPr id="1" name="Image 1" descr="U:\GrpTravail\Siric\Administratif\Logos\Logo SIRIC\Logo SIRIC définitif avril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rpTravail\Siric\Administratif\Logos\Logo SIRIC\Logo SIRIC définitif avril2013.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81250" cy="660566"/>
                  </a:xfrm>
                  <a:prstGeom prst="rect">
                    <a:avLst/>
                  </a:prstGeom>
                  <a:noFill/>
                  <a:ln>
                    <a:noFill/>
                  </a:ln>
                </pic:spPr>
              </pic:pic>
            </a:graphicData>
          </a:graphic>
        </wp:inline>
      </w:drawing>
    </w:r>
    <w:r>
      <w:rPr>
        <w:noProof/>
      </w:rPr>
      <w:drawing>
        <wp:inline distT="0" distB="0" distL="0" distR="0" wp14:anchorId="0F852C7D" wp14:editId="593EA86F">
          <wp:extent cx="1030605" cy="792480"/>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0605" cy="792480"/>
                  </a:xfrm>
                  <a:prstGeom prst="rect">
                    <a:avLst/>
                  </a:prstGeom>
                  <a:noFill/>
                </pic:spPr>
              </pic:pic>
            </a:graphicData>
          </a:graphic>
        </wp:inline>
      </w:drawing>
    </w:r>
    <w:r w:rsidR="00B7540D">
      <w:t xml:space="preserve">                     </w:t>
    </w:r>
    <w:r w:rsidR="005B7CC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1475"/>
    <w:multiLevelType w:val="hybridMultilevel"/>
    <w:tmpl w:val="CAFCD86C"/>
    <w:lvl w:ilvl="0" w:tplc="FC285198">
      <w:start w:val="3"/>
      <w:numFmt w:val="bullet"/>
      <w:lvlText w:val=""/>
      <w:lvlJc w:val="left"/>
      <w:pPr>
        <w:ind w:left="1080" w:hanging="360"/>
      </w:pPr>
      <w:rPr>
        <w:rFonts w:ascii="Symbol" w:eastAsiaTheme="minorHAnsi" w:hAnsi="Symbol" w:cstheme="minorBidi" w:hint="default"/>
        <w:b w:val="0"/>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14510E71"/>
    <w:multiLevelType w:val="hybridMultilevel"/>
    <w:tmpl w:val="80F4B4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B65E53"/>
    <w:multiLevelType w:val="hybridMultilevel"/>
    <w:tmpl w:val="66D8C90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25223F3"/>
    <w:multiLevelType w:val="hybridMultilevel"/>
    <w:tmpl w:val="AB5EA07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68C5D6E"/>
    <w:multiLevelType w:val="hybridMultilevel"/>
    <w:tmpl w:val="C8002516"/>
    <w:lvl w:ilvl="0" w:tplc="9120F8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DA92EBE"/>
    <w:multiLevelType w:val="hybridMultilevel"/>
    <w:tmpl w:val="D1A42C44"/>
    <w:lvl w:ilvl="0" w:tplc="E8EAE488">
      <w:numFmt w:val="bullet"/>
      <w:lvlText w:val="-"/>
      <w:lvlJc w:val="left"/>
      <w:pPr>
        <w:ind w:left="1080" w:hanging="360"/>
      </w:pPr>
      <w:rPr>
        <w:rFonts w:ascii="Calibri" w:eastAsiaTheme="minorEastAsia"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3F6F423E"/>
    <w:multiLevelType w:val="hybridMultilevel"/>
    <w:tmpl w:val="1EF03FAE"/>
    <w:lvl w:ilvl="0" w:tplc="040C000D">
      <w:start w:val="1"/>
      <w:numFmt w:val="bullet"/>
      <w:lvlText w:val=""/>
      <w:lvlJc w:val="left"/>
      <w:pPr>
        <w:ind w:left="810" w:hanging="360"/>
      </w:pPr>
      <w:rPr>
        <w:rFonts w:ascii="Wingdings" w:hAnsi="Wingdings"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7" w15:restartNumberingAfterBreak="0">
    <w:nsid w:val="4A421245"/>
    <w:multiLevelType w:val="hybridMultilevel"/>
    <w:tmpl w:val="0F78B38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3C03981"/>
    <w:multiLevelType w:val="hybridMultilevel"/>
    <w:tmpl w:val="C8002516"/>
    <w:lvl w:ilvl="0" w:tplc="9120F8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CA303DA"/>
    <w:multiLevelType w:val="hybridMultilevel"/>
    <w:tmpl w:val="5C300B80"/>
    <w:lvl w:ilvl="0" w:tplc="0EE8548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2307A5C"/>
    <w:multiLevelType w:val="hybridMultilevel"/>
    <w:tmpl w:val="F0767E0E"/>
    <w:lvl w:ilvl="0" w:tplc="1DFA752E">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8FA5525"/>
    <w:multiLevelType w:val="hybridMultilevel"/>
    <w:tmpl w:val="56428C8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0"/>
  </w:num>
  <w:num w:numId="4">
    <w:abstractNumId w:val="9"/>
  </w:num>
  <w:num w:numId="5">
    <w:abstractNumId w:val="1"/>
  </w:num>
  <w:num w:numId="6">
    <w:abstractNumId w:val="3"/>
  </w:num>
  <w:num w:numId="7">
    <w:abstractNumId w:val="11"/>
  </w:num>
  <w:num w:numId="8">
    <w:abstractNumId w:val="8"/>
  </w:num>
  <w:num w:numId="9">
    <w:abstractNumId w:val="7"/>
  </w:num>
  <w:num w:numId="10">
    <w:abstractNumId w:val="2"/>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5FE"/>
    <w:rsid w:val="00003122"/>
    <w:rsid w:val="00051CB8"/>
    <w:rsid w:val="000556B6"/>
    <w:rsid w:val="00063D18"/>
    <w:rsid w:val="0008101E"/>
    <w:rsid w:val="000F6CAB"/>
    <w:rsid w:val="001330C7"/>
    <w:rsid w:val="00145505"/>
    <w:rsid w:val="00153832"/>
    <w:rsid w:val="001E3077"/>
    <w:rsid w:val="001E377B"/>
    <w:rsid w:val="00240AD9"/>
    <w:rsid w:val="002A6A9E"/>
    <w:rsid w:val="002E0326"/>
    <w:rsid w:val="0030129E"/>
    <w:rsid w:val="00313411"/>
    <w:rsid w:val="00372680"/>
    <w:rsid w:val="00391CAD"/>
    <w:rsid w:val="003C4740"/>
    <w:rsid w:val="003F1385"/>
    <w:rsid w:val="003F1E9D"/>
    <w:rsid w:val="00401E28"/>
    <w:rsid w:val="004B597C"/>
    <w:rsid w:val="004D045D"/>
    <w:rsid w:val="004F4472"/>
    <w:rsid w:val="00524FF4"/>
    <w:rsid w:val="00535CB7"/>
    <w:rsid w:val="00553908"/>
    <w:rsid w:val="00576C14"/>
    <w:rsid w:val="00592BAF"/>
    <w:rsid w:val="005B7CC9"/>
    <w:rsid w:val="005C0948"/>
    <w:rsid w:val="005C2CB9"/>
    <w:rsid w:val="005D77D7"/>
    <w:rsid w:val="00610EE5"/>
    <w:rsid w:val="00611FD0"/>
    <w:rsid w:val="00614CD1"/>
    <w:rsid w:val="0062600D"/>
    <w:rsid w:val="006534F0"/>
    <w:rsid w:val="00695759"/>
    <w:rsid w:val="006A31CF"/>
    <w:rsid w:val="006D45E1"/>
    <w:rsid w:val="006D653F"/>
    <w:rsid w:val="007004C5"/>
    <w:rsid w:val="00706CBA"/>
    <w:rsid w:val="007251BC"/>
    <w:rsid w:val="007307C6"/>
    <w:rsid w:val="00736059"/>
    <w:rsid w:val="00764AAA"/>
    <w:rsid w:val="007951E2"/>
    <w:rsid w:val="007A6E14"/>
    <w:rsid w:val="007C2682"/>
    <w:rsid w:val="007D6AC9"/>
    <w:rsid w:val="007F7738"/>
    <w:rsid w:val="008050C3"/>
    <w:rsid w:val="00823E5F"/>
    <w:rsid w:val="00850796"/>
    <w:rsid w:val="00865759"/>
    <w:rsid w:val="00872B02"/>
    <w:rsid w:val="00877C1A"/>
    <w:rsid w:val="008909D6"/>
    <w:rsid w:val="009975FE"/>
    <w:rsid w:val="009B6269"/>
    <w:rsid w:val="009C0DE8"/>
    <w:rsid w:val="00A07956"/>
    <w:rsid w:val="00A1402B"/>
    <w:rsid w:val="00A147C6"/>
    <w:rsid w:val="00A4169B"/>
    <w:rsid w:val="00A93240"/>
    <w:rsid w:val="00AA4122"/>
    <w:rsid w:val="00AF3186"/>
    <w:rsid w:val="00B044FF"/>
    <w:rsid w:val="00B44EF5"/>
    <w:rsid w:val="00B546C6"/>
    <w:rsid w:val="00B563C6"/>
    <w:rsid w:val="00B61C14"/>
    <w:rsid w:val="00B7540D"/>
    <w:rsid w:val="00B82493"/>
    <w:rsid w:val="00BA37A3"/>
    <w:rsid w:val="00C93573"/>
    <w:rsid w:val="00CB37F9"/>
    <w:rsid w:val="00CB6E24"/>
    <w:rsid w:val="00CD1720"/>
    <w:rsid w:val="00D15BA2"/>
    <w:rsid w:val="00D55780"/>
    <w:rsid w:val="00D560AF"/>
    <w:rsid w:val="00D63A6D"/>
    <w:rsid w:val="00D9457E"/>
    <w:rsid w:val="00DC40B1"/>
    <w:rsid w:val="00DE182E"/>
    <w:rsid w:val="00E125E0"/>
    <w:rsid w:val="00E414B6"/>
    <w:rsid w:val="00E424F4"/>
    <w:rsid w:val="00E70279"/>
    <w:rsid w:val="00E75264"/>
    <w:rsid w:val="00F2529C"/>
    <w:rsid w:val="00F350A8"/>
    <w:rsid w:val="00FA4A22"/>
    <w:rsid w:val="00FB1B31"/>
    <w:rsid w:val="00FB5A27"/>
    <w:rsid w:val="00FB776F"/>
    <w:rsid w:val="00FB77D7"/>
    <w:rsid w:val="00FD72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8356A"/>
  <w15:docId w15:val="{56E98A58-B113-44A5-A856-DCE5C559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975FE"/>
    <w:pPr>
      <w:tabs>
        <w:tab w:val="center" w:pos="4536"/>
        <w:tab w:val="right" w:pos="9072"/>
      </w:tabs>
      <w:spacing w:after="0" w:line="240" w:lineRule="auto"/>
    </w:pPr>
  </w:style>
  <w:style w:type="character" w:customStyle="1" w:styleId="En-tteCar">
    <w:name w:val="En-tête Car"/>
    <w:basedOn w:val="Policepardfaut"/>
    <w:link w:val="En-tte"/>
    <w:uiPriority w:val="99"/>
    <w:rsid w:val="009975FE"/>
  </w:style>
  <w:style w:type="paragraph" w:styleId="Pieddepage">
    <w:name w:val="footer"/>
    <w:basedOn w:val="Normal"/>
    <w:link w:val="PieddepageCar"/>
    <w:uiPriority w:val="99"/>
    <w:unhideWhenUsed/>
    <w:rsid w:val="009975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975FE"/>
  </w:style>
  <w:style w:type="paragraph" w:styleId="Textedebulles">
    <w:name w:val="Balloon Text"/>
    <w:basedOn w:val="Normal"/>
    <w:link w:val="TextedebullesCar"/>
    <w:uiPriority w:val="99"/>
    <w:semiHidden/>
    <w:unhideWhenUsed/>
    <w:rsid w:val="009975F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975FE"/>
    <w:rPr>
      <w:rFonts w:ascii="Tahoma" w:hAnsi="Tahoma" w:cs="Tahoma"/>
      <w:sz w:val="16"/>
      <w:szCs w:val="16"/>
    </w:rPr>
  </w:style>
  <w:style w:type="paragraph" w:styleId="Paragraphedeliste">
    <w:name w:val="List Paragraph"/>
    <w:basedOn w:val="Normal"/>
    <w:uiPriority w:val="34"/>
    <w:qFormat/>
    <w:rsid w:val="00DE182E"/>
    <w:pPr>
      <w:ind w:left="720"/>
      <w:contextualSpacing/>
    </w:pPr>
  </w:style>
  <w:style w:type="character" w:styleId="Marquedecommentaire">
    <w:name w:val="annotation reference"/>
    <w:basedOn w:val="Policepardfaut"/>
    <w:uiPriority w:val="99"/>
    <w:semiHidden/>
    <w:unhideWhenUsed/>
    <w:rsid w:val="0062600D"/>
    <w:rPr>
      <w:sz w:val="16"/>
      <w:szCs w:val="16"/>
    </w:rPr>
  </w:style>
  <w:style w:type="paragraph" w:styleId="Commentaire">
    <w:name w:val="annotation text"/>
    <w:basedOn w:val="Normal"/>
    <w:link w:val="CommentaireCar"/>
    <w:uiPriority w:val="99"/>
    <w:semiHidden/>
    <w:unhideWhenUsed/>
    <w:rsid w:val="0062600D"/>
    <w:pPr>
      <w:spacing w:line="240" w:lineRule="auto"/>
    </w:pPr>
    <w:rPr>
      <w:sz w:val="20"/>
      <w:szCs w:val="20"/>
    </w:rPr>
  </w:style>
  <w:style w:type="character" w:customStyle="1" w:styleId="CommentaireCar">
    <w:name w:val="Commentaire Car"/>
    <w:basedOn w:val="Policepardfaut"/>
    <w:link w:val="Commentaire"/>
    <w:uiPriority w:val="99"/>
    <w:semiHidden/>
    <w:rsid w:val="0062600D"/>
    <w:rPr>
      <w:sz w:val="20"/>
      <w:szCs w:val="20"/>
    </w:rPr>
  </w:style>
  <w:style w:type="paragraph" w:styleId="Objetducommentaire">
    <w:name w:val="annotation subject"/>
    <w:basedOn w:val="Commentaire"/>
    <w:next w:val="Commentaire"/>
    <w:link w:val="ObjetducommentaireCar"/>
    <w:uiPriority w:val="99"/>
    <w:semiHidden/>
    <w:unhideWhenUsed/>
    <w:rsid w:val="0062600D"/>
    <w:rPr>
      <w:b/>
      <w:bCs/>
    </w:rPr>
  </w:style>
  <w:style w:type="character" w:customStyle="1" w:styleId="ObjetducommentaireCar">
    <w:name w:val="Objet du commentaire Car"/>
    <w:basedOn w:val="CommentaireCar"/>
    <w:link w:val="Objetducommentaire"/>
    <w:uiPriority w:val="99"/>
    <w:semiHidden/>
    <w:rsid w:val="0062600D"/>
    <w:rPr>
      <w:b/>
      <w:bCs/>
      <w:sz w:val="20"/>
      <w:szCs w:val="20"/>
    </w:rPr>
  </w:style>
  <w:style w:type="table" w:styleId="Grilledutableau">
    <w:name w:val="Table Grid"/>
    <w:basedOn w:val="TableauNormal"/>
    <w:uiPriority w:val="59"/>
    <w:rsid w:val="00823E5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C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rexp@icm.unicancer.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16F42-60E9-4446-AE53-735928B07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506</Words>
  <Characters>2788</Characters>
  <Application>Microsoft Office Word</Application>
  <DocSecurity>0</DocSecurity>
  <Lines>23</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CRLC</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Crlc</dc:creator>
  <cp:lastModifiedBy>Brengues Muriel</cp:lastModifiedBy>
  <cp:revision>2</cp:revision>
  <cp:lastPrinted>2016-01-27T13:25:00Z</cp:lastPrinted>
  <dcterms:created xsi:type="dcterms:W3CDTF">2021-09-21T08:40:00Z</dcterms:created>
  <dcterms:modified xsi:type="dcterms:W3CDTF">2021-09-21T08:40:00Z</dcterms:modified>
</cp:coreProperties>
</file>